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3C7B" w14:textId="75B566B0" w:rsidR="00055F6E" w:rsidRPr="0022095E" w:rsidRDefault="00055F6E" w:rsidP="0022095E">
      <w:pPr>
        <w:spacing w:line="240" w:lineRule="auto"/>
        <w:jc w:val="center"/>
        <w:rPr>
          <w:b/>
          <w:bCs/>
          <w:sz w:val="28"/>
          <w:szCs w:val="28"/>
        </w:rPr>
      </w:pPr>
      <w:r w:rsidRPr="0022095E">
        <w:rPr>
          <w:b/>
          <w:bCs/>
          <w:sz w:val="28"/>
          <w:szCs w:val="28"/>
        </w:rPr>
        <w:t xml:space="preserve">Informe de la Secretaría Ejecutiva relativo al monitoreo </w:t>
      </w:r>
      <w:r w:rsidR="004E374A" w:rsidRPr="0022095E">
        <w:rPr>
          <w:b/>
          <w:bCs/>
          <w:sz w:val="28"/>
          <w:szCs w:val="28"/>
        </w:rPr>
        <w:t>de los programas de radio y televisión que difundan noticias, y la prensa impresa, en los periodos de obtención del respaldo de la ciudadanía, precampañas, intercampañas y campañas electorales</w:t>
      </w:r>
    </w:p>
    <w:p w14:paraId="7E6E28AD" w14:textId="77777777" w:rsidR="00055F6E" w:rsidRDefault="00055F6E" w:rsidP="00DC3966">
      <w:pPr>
        <w:spacing w:line="240" w:lineRule="auto"/>
        <w:rPr>
          <w:sz w:val="24"/>
        </w:rPr>
      </w:pPr>
    </w:p>
    <w:p w14:paraId="00757763" w14:textId="727E9638" w:rsidR="00055F6E" w:rsidRPr="00A46226" w:rsidRDefault="00055F6E" w:rsidP="00DC3966">
      <w:pPr>
        <w:spacing w:line="240" w:lineRule="auto"/>
        <w:rPr>
          <w:sz w:val="24"/>
        </w:rPr>
      </w:pPr>
      <w:r w:rsidRPr="00A46226">
        <w:rPr>
          <w:sz w:val="24"/>
        </w:rPr>
        <w:t xml:space="preserve">En cumplimiento a lo dispuesto en el artículo 296 del Reglamento de Elecciones, que establece </w:t>
      </w:r>
      <w:r w:rsidR="005104EA" w:rsidRPr="00A46226">
        <w:rPr>
          <w:sz w:val="24"/>
        </w:rPr>
        <w:t>la</w:t>
      </w:r>
      <w:r w:rsidRPr="00A46226">
        <w:rPr>
          <w:sz w:val="24"/>
        </w:rPr>
        <w:t xml:space="preserve"> responsabilidad de los Organismos Públicos Locales Electorales </w:t>
      </w:r>
      <w:r w:rsidR="005104EA" w:rsidRPr="00A46226">
        <w:rPr>
          <w:sz w:val="24"/>
        </w:rPr>
        <w:t xml:space="preserve">para </w:t>
      </w:r>
      <w:r w:rsidRPr="00A46226">
        <w:rPr>
          <w:sz w:val="24"/>
        </w:rPr>
        <w:t>llevar a cabo el monitoreo de los programas de radio y televisión que difundan noticias durante el proceso electoral</w:t>
      </w:r>
      <w:r w:rsidR="00003EB9" w:rsidRPr="00A46226">
        <w:rPr>
          <w:sz w:val="24"/>
        </w:rPr>
        <w:t xml:space="preserve">, </w:t>
      </w:r>
      <w:r w:rsidR="005B3ED1" w:rsidRPr="00A46226">
        <w:rPr>
          <w:sz w:val="24"/>
        </w:rPr>
        <w:t xml:space="preserve">y de conformidad con lo establecido en </w:t>
      </w:r>
      <w:r w:rsidR="00003EB9" w:rsidRPr="00A46226">
        <w:rPr>
          <w:sz w:val="24"/>
        </w:rPr>
        <w:t>el capítulo IV de las Reglas del monitoreo aprobadas por el Consejo General de este Instituto</w:t>
      </w:r>
      <w:r w:rsidR="005B3ED1" w:rsidRPr="00A46226">
        <w:rPr>
          <w:sz w:val="24"/>
        </w:rPr>
        <w:t xml:space="preserve">, </w:t>
      </w:r>
      <w:r w:rsidRPr="00A46226">
        <w:rPr>
          <w:sz w:val="24"/>
        </w:rPr>
        <w:t>la Secretaría Ejecutiva presenta al Consejo General el informe</w:t>
      </w:r>
      <w:r w:rsidR="000305FF" w:rsidRPr="00A46226">
        <w:rPr>
          <w:sz w:val="24"/>
        </w:rPr>
        <w:t xml:space="preserve"> </w:t>
      </w:r>
      <w:r w:rsidR="00AC67F1" w:rsidRPr="00A46226">
        <w:rPr>
          <w:sz w:val="24"/>
        </w:rPr>
        <w:t>d</w:t>
      </w:r>
      <w:r w:rsidR="000305FF" w:rsidRPr="00A46226">
        <w:rPr>
          <w:sz w:val="24"/>
        </w:rPr>
        <w:t xml:space="preserve">el </w:t>
      </w:r>
      <w:r w:rsidR="00D05409" w:rsidRPr="00A46226">
        <w:rPr>
          <w:sz w:val="24"/>
          <w:lang w:val="es-ES"/>
        </w:rPr>
        <w:t xml:space="preserve">monitoreo </w:t>
      </w:r>
      <w:r w:rsidR="00450816" w:rsidRPr="00A46226">
        <w:rPr>
          <w:sz w:val="24"/>
          <w:lang w:val="es-ES"/>
        </w:rPr>
        <w:t xml:space="preserve">realizado </w:t>
      </w:r>
      <w:r w:rsidR="00D05409" w:rsidRPr="00A46226">
        <w:rPr>
          <w:b/>
          <w:bCs/>
          <w:sz w:val="24"/>
          <w:lang w:val="es-ES"/>
        </w:rPr>
        <w:t xml:space="preserve">del </w:t>
      </w:r>
      <w:r w:rsidR="00136F0F">
        <w:rPr>
          <w:b/>
          <w:bCs/>
          <w:sz w:val="24"/>
          <w:lang w:val="es-ES"/>
        </w:rPr>
        <w:t>8</w:t>
      </w:r>
      <w:r w:rsidR="001E5877" w:rsidRPr="00A46226">
        <w:rPr>
          <w:b/>
          <w:bCs/>
          <w:sz w:val="24"/>
          <w:lang w:val="es-ES"/>
        </w:rPr>
        <w:t xml:space="preserve"> de </w:t>
      </w:r>
      <w:r w:rsidR="00136F0F">
        <w:rPr>
          <w:b/>
          <w:bCs/>
          <w:sz w:val="24"/>
          <w:lang w:val="es-ES"/>
        </w:rPr>
        <w:t>marz</w:t>
      </w:r>
      <w:r w:rsidR="00A63E27" w:rsidRPr="00A46226">
        <w:rPr>
          <w:b/>
          <w:bCs/>
          <w:sz w:val="24"/>
          <w:lang w:val="es-ES"/>
        </w:rPr>
        <w:t>o</w:t>
      </w:r>
      <w:r w:rsidR="00D05409" w:rsidRPr="00A46226">
        <w:rPr>
          <w:b/>
          <w:bCs/>
          <w:sz w:val="24"/>
          <w:lang w:val="es-ES"/>
        </w:rPr>
        <w:t xml:space="preserve"> al </w:t>
      </w:r>
      <w:r w:rsidR="00136F0F">
        <w:rPr>
          <w:b/>
          <w:bCs/>
          <w:sz w:val="24"/>
          <w:lang w:val="es-ES"/>
        </w:rPr>
        <w:t>4</w:t>
      </w:r>
      <w:r w:rsidR="00D05409" w:rsidRPr="00A46226">
        <w:rPr>
          <w:b/>
          <w:bCs/>
          <w:sz w:val="24"/>
          <w:lang w:val="es-ES"/>
        </w:rPr>
        <w:t xml:space="preserve"> de </w:t>
      </w:r>
      <w:r w:rsidR="00136F0F">
        <w:rPr>
          <w:b/>
          <w:bCs/>
          <w:sz w:val="24"/>
          <w:lang w:val="es-ES"/>
        </w:rPr>
        <w:t>abril</w:t>
      </w:r>
      <w:r w:rsidR="00D05409" w:rsidRPr="00A46226">
        <w:rPr>
          <w:b/>
          <w:bCs/>
          <w:sz w:val="24"/>
          <w:lang w:val="es-ES"/>
        </w:rPr>
        <w:t xml:space="preserve"> de 202</w:t>
      </w:r>
      <w:r w:rsidR="001E5877" w:rsidRPr="00A46226">
        <w:rPr>
          <w:b/>
          <w:bCs/>
          <w:sz w:val="24"/>
          <w:lang w:val="es-ES"/>
        </w:rPr>
        <w:t>4</w:t>
      </w:r>
      <w:r w:rsidRPr="00A46226">
        <w:rPr>
          <w:sz w:val="24"/>
          <w:lang w:val="es-ES"/>
        </w:rPr>
        <w:t xml:space="preserve">, sobre </w:t>
      </w:r>
      <w:r w:rsidR="00A77D38">
        <w:rPr>
          <w:sz w:val="24"/>
          <w:lang w:val="es-ES"/>
        </w:rPr>
        <w:t>el periodo de</w:t>
      </w:r>
      <w:r w:rsidR="00A63E27" w:rsidRPr="00A46226">
        <w:rPr>
          <w:sz w:val="24"/>
          <w:lang w:val="es-ES"/>
        </w:rPr>
        <w:t xml:space="preserve"> intercampañas</w:t>
      </w:r>
      <w:r w:rsidR="00136F0F">
        <w:rPr>
          <w:sz w:val="24"/>
          <w:lang w:val="es-ES"/>
        </w:rPr>
        <w:t xml:space="preserve"> e inicio de campañas</w:t>
      </w:r>
      <w:r w:rsidR="00085C53" w:rsidRPr="00A46226">
        <w:rPr>
          <w:sz w:val="24"/>
          <w:lang w:val="es-ES"/>
        </w:rPr>
        <w:t>; mismo que se expone a continuación:</w:t>
      </w:r>
    </w:p>
    <w:p w14:paraId="3571AE90" w14:textId="77777777" w:rsidR="00055F6E" w:rsidRPr="00A46226" w:rsidRDefault="00055F6E" w:rsidP="00DC3966">
      <w:pPr>
        <w:spacing w:line="240" w:lineRule="auto"/>
        <w:rPr>
          <w:sz w:val="24"/>
        </w:rPr>
      </w:pPr>
    </w:p>
    <w:p w14:paraId="65429A7C" w14:textId="73081141" w:rsidR="00055F6E" w:rsidRPr="00A46226" w:rsidRDefault="00055F6E" w:rsidP="00DC3966">
      <w:pPr>
        <w:spacing w:line="240" w:lineRule="auto"/>
        <w:rPr>
          <w:sz w:val="24"/>
        </w:rPr>
      </w:pPr>
      <w:r w:rsidRPr="00A46226">
        <w:rPr>
          <w:sz w:val="24"/>
        </w:rPr>
        <w:t>Del monitoreo a los medios de comunicación de radio, televisión y prensa impresa</w:t>
      </w:r>
      <w:r w:rsidRPr="00A46226">
        <w:rPr>
          <w:b/>
          <w:bCs/>
          <w:sz w:val="24"/>
        </w:rPr>
        <w:t xml:space="preserve">, </w:t>
      </w:r>
      <w:r w:rsidRPr="00A46226">
        <w:rPr>
          <w:sz w:val="24"/>
        </w:rPr>
        <w:t>coordinado por la Unidad de Comunicación Social:</w:t>
      </w:r>
    </w:p>
    <w:p w14:paraId="472D79FD" w14:textId="77777777" w:rsidR="00055F6E" w:rsidRPr="00A46226" w:rsidRDefault="00055F6E" w:rsidP="00DC3966">
      <w:pPr>
        <w:spacing w:line="240" w:lineRule="auto"/>
        <w:rPr>
          <w:sz w:val="24"/>
        </w:rPr>
      </w:pPr>
    </w:p>
    <w:p w14:paraId="36ADAAD0" w14:textId="0BFCC403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Se registraron </w:t>
      </w:r>
      <w:r w:rsidR="002912E3">
        <w:rPr>
          <w:b/>
          <w:bCs/>
          <w:sz w:val="24"/>
        </w:rPr>
        <w:t>297</w:t>
      </w:r>
      <w:r w:rsidR="00CE2C01">
        <w:rPr>
          <w:b/>
          <w:bCs/>
          <w:sz w:val="24"/>
        </w:rPr>
        <w:t>1</w:t>
      </w:r>
      <w:r w:rsidRPr="00A46226">
        <w:rPr>
          <w:b/>
          <w:bCs/>
          <w:sz w:val="24"/>
        </w:rPr>
        <w:t xml:space="preserve"> piezas de monitoreo</w:t>
      </w:r>
      <w:r w:rsidRPr="00A46226">
        <w:rPr>
          <w:sz w:val="24"/>
        </w:rPr>
        <w:t xml:space="preserve"> </w:t>
      </w:r>
      <w:r w:rsidR="00A81D07" w:rsidRPr="00A46226">
        <w:rPr>
          <w:sz w:val="24"/>
        </w:rPr>
        <w:t>en referencia</w:t>
      </w:r>
      <w:r w:rsidRPr="00A46226">
        <w:rPr>
          <w:sz w:val="24"/>
        </w:rPr>
        <w:t xml:space="preserve"> a las </w:t>
      </w:r>
      <w:r w:rsidR="000318F1" w:rsidRPr="00A46226">
        <w:rPr>
          <w:sz w:val="24"/>
        </w:rPr>
        <w:t xml:space="preserve">intercampañas </w:t>
      </w:r>
      <w:r w:rsidR="009211BF">
        <w:rPr>
          <w:sz w:val="24"/>
        </w:rPr>
        <w:t xml:space="preserve">e inicio de campañas </w:t>
      </w:r>
      <w:r w:rsidR="00483D0C" w:rsidRPr="00A46226">
        <w:rPr>
          <w:sz w:val="24"/>
        </w:rPr>
        <w:t>de los partidos políticos</w:t>
      </w:r>
      <w:r w:rsidR="00CF15B4" w:rsidRPr="00A46226">
        <w:rPr>
          <w:sz w:val="24"/>
        </w:rPr>
        <w:t xml:space="preserve">, </w:t>
      </w:r>
      <w:r w:rsidR="00483D0C" w:rsidRPr="00A46226">
        <w:rPr>
          <w:sz w:val="24"/>
        </w:rPr>
        <w:t>coaliciones</w:t>
      </w:r>
      <w:r w:rsidR="003363A8">
        <w:rPr>
          <w:sz w:val="24"/>
        </w:rPr>
        <w:t xml:space="preserve">, </w:t>
      </w:r>
      <w:r w:rsidR="00CF15B4" w:rsidRPr="00A46226">
        <w:rPr>
          <w:sz w:val="24"/>
        </w:rPr>
        <w:t xml:space="preserve">aspirantes </w:t>
      </w:r>
      <w:r w:rsidR="000318F1" w:rsidRPr="00A46226">
        <w:rPr>
          <w:sz w:val="24"/>
        </w:rPr>
        <w:t>a una candidatura independiente</w:t>
      </w:r>
      <w:r w:rsidR="003363A8">
        <w:rPr>
          <w:sz w:val="24"/>
        </w:rPr>
        <w:t xml:space="preserve"> y candidatura independiente</w:t>
      </w:r>
      <w:r w:rsidRPr="00A46226">
        <w:rPr>
          <w:sz w:val="24"/>
        </w:rPr>
        <w:t xml:space="preserve">, de las cuales </w:t>
      </w:r>
      <w:r w:rsidR="003363A8">
        <w:rPr>
          <w:sz w:val="24"/>
        </w:rPr>
        <w:t>655</w:t>
      </w:r>
      <w:r w:rsidRPr="00A46226">
        <w:rPr>
          <w:sz w:val="24"/>
        </w:rPr>
        <w:t xml:space="preserve"> corresponde</w:t>
      </w:r>
      <w:r w:rsidR="00B27CAD" w:rsidRPr="00A46226">
        <w:rPr>
          <w:sz w:val="24"/>
        </w:rPr>
        <w:t>n</w:t>
      </w:r>
      <w:r w:rsidRPr="00A46226">
        <w:rPr>
          <w:sz w:val="24"/>
        </w:rPr>
        <w:t xml:space="preserve"> a televisión, </w:t>
      </w:r>
      <w:r w:rsidR="00E70B40">
        <w:rPr>
          <w:sz w:val="24"/>
        </w:rPr>
        <w:t>1203</w:t>
      </w:r>
      <w:r w:rsidRPr="00A46226">
        <w:rPr>
          <w:sz w:val="24"/>
        </w:rPr>
        <w:t xml:space="preserve"> a radio y </w:t>
      </w:r>
      <w:r w:rsidR="00E70B40">
        <w:rPr>
          <w:sz w:val="24"/>
        </w:rPr>
        <w:t>11</w:t>
      </w:r>
      <w:r w:rsidR="0027377C">
        <w:rPr>
          <w:sz w:val="24"/>
        </w:rPr>
        <w:t>1</w:t>
      </w:r>
      <w:r w:rsidR="00E70B40">
        <w:rPr>
          <w:sz w:val="24"/>
        </w:rPr>
        <w:t>3</w:t>
      </w:r>
      <w:r w:rsidRPr="00A46226">
        <w:rPr>
          <w:sz w:val="24"/>
        </w:rPr>
        <w:t xml:space="preserve"> a prensa impresa.</w:t>
      </w:r>
    </w:p>
    <w:p w14:paraId="3F7EC77A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7DB76BF5" w14:textId="03AC829E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tiempo otorgado a las </w:t>
      </w:r>
      <w:r w:rsidR="006E4813" w:rsidRPr="00A46226">
        <w:rPr>
          <w:sz w:val="24"/>
        </w:rPr>
        <w:t>intercampañas</w:t>
      </w:r>
      <w:r w:rsidR="000362A8">
        <w:rPr>
          <w:sz w:val="24"/>
        </w:rPr>
        <w:t xml:space="preserve"> e inicio de campañas</w:t>
      </w:r>
      <w:r w:rsidR="006E4813" w:rsidRPr="00A46226">
        <w:rPr>
          <w:sz w:val="24"/>
        </w:rPr>
        <w:t xml:space="preserve"> de los partidos políticos, coaliciones</w:t>
      </w:r>
      <w:r w:rsidR="000362A8">
        <w:rPr>
          <w:sz w:val="24"/>
        </w:rPr>
        <w:t xml:space="preserve">, </w:t>
      </w:r>
      <w:r w:rsidR="006E4813" w:rsidRPr="00A46226">
        <w:rPr>
          <w:sz w:val="24"/>
        </w:rPr>
        <w:t>aspirantes a una candidatura independiente</w:t>
      </w:r>
      <w:r w:rsidR="000362A8">
        <w:rPr>
          <w:sz w:val="24"/>
        </w:rPr>
        <w:t xml:space="preserve"> y candidatura independiente</w:t>
      </w:r>
      <w:r w:rsidRPr="00A46226">
        <w:rPr>
          <w:sz w:val="24"/>
        </w:rPr>
        <w:t xml:space="preserve"> fue de </w:t>
      </w:r>
      <w:r w:rsidR="000362A8">
        <w:rPr>
          <w:b/>
          <w:bCs/>
          <w:sz w:val="24"/>
        </w:rPr>
        <w:t>10</w:t>
      </w:r>
      <w:r w:rsidR="00EE2748" w:rsidRPr="00A46226">
        <w:rPr>
          <w:b/>
          <w:bCs/>
          <w:sz w:val="24"/>
        </w:rPr>
        <w:t xml:space="preserve"> horas</w:t>
      </w:r>
      <w:r w:rsidR="008032DE" w:rsidRPr="00A46226">
        <w:rPr>
          <w:b/>
          <w:bCs/>
          <w:sz w:val="24"/>
        </w:rPr>
        <w:t xml:space="preserve">, </w:t>
      </w:r>
      <w:r w:rsidR="000362A8">
        <w:rPr>
          <w:b/>
          <w:bCs/>
          <w:sz w:val="24"/>
        </w:rPr>
        <w:t>4</w:t>
      </w:r>
      <w:r w:rsidR="00072112">
        <w:rPr>
          <w:b/>
          <w:bCs/>
          <w:sz w:val="24"/>
        </w:rPr>
        <w:t>9</w:t>
      </w:r>
      <w:r w:rsidR="008032DE" w:rsidRPr="00A46226">
        <w:rPr>
          <w:b/>
          <w:bCs/>
          <w:sz w:val="24"/>
        </w:rPr>
        <w:t xml:space="preserve"> minutos y </w:t>
      </w:r>
      <w:r w:rsidR="000362A8">
        <w:rPr>
          <w:b/>
          <w:bCs/>
          <w:sz w:val="24"/>
        </w:rPr>
        <w:t>45</w:t>
      </w:r>
      <w:r w:rsidR="008032DE" w:rsidRPr="00A46226">
        <w:rPr>
          <w:b/>
          <w:bCs/>
          <w:sz w:val="24"/>
        </w:rPr>
        <w:t xml:space="preserve"> segundos</w:t>
      </w:r>
      <w:r w:rsidRPr="00A46226">
        <w:rPr>
          <w:b/>
          <w:bCs/>
          <w:sz w:val="24"/>
        </w:rPr>
        <w:t xml:space="preserve"> en televisión</w:t>
      </w:r>
      <w:r w:rsidRPr="00A46226">
        <w:rPr>
          <w:sz w:val="24"/>
        </w:rPr>
        <w:t xml:space="preserve">; y </w:t>
      </w:r>
      <w:r w:rsidR="00771414">
        <w:rPr>
          <w:b/>
          <w:bCs/>
          <w:sz w:val="24"/>
        </w:rPr>
        <w:t>48</w:t>
      </w:r>
      <w:r w:rsidR="004B5602" w:rsidRPr="00A46226">
        <w:rPr>
          <w:b/>
          <w:bCs/>
          <w:sz w:val="24"/>
        </w:rPr>
        <w:t xml:space="preserve"> horas</w:t>
      </w:r>
      <w:r w:rsidR="00657093" w:rsidRPr="00A46226">
        <w:rPr>
          <w:b/>
          <w:bCs/>
          <w:sz w:val="24"/>
        </w:rPr>
        <w:t xml:space="preserve">, </w:t>
      </w:r>
      <w:r w:rsidR="00771414">
        <w:rPr>
          <w:b/>
          <w:bCs/>
          <w:sz w:val="24"/>
        </w:rPr>
        <w:t>20</w:t>
      </w:r>
      <w:r w:rsidRPr="00A46226">
        <w:rPr>
          <w:b/>
          <w:bCs/>
          <w:sz w:val="24"/>
        </w:rPr>
        <w:t xml:space="preserve"> minuto</w:t>
      </w:r>
      <w:r w:rsidR="000828C5" w:rsidRPr="00A46226">
        <w:rPr>
          <w:b/>
          <w:bCs/>
          <w:sz w:val="24"/>
        </w:rPr>
        <w:t>s</w:t>
      </w:r>
      <w:r w:rsidRPr="00A46226">
        <w:rPr>
          <w:b/>
          <w:bCs/>
          <w:sz w:val="24"/>
        </w:rPr>
        <w:t xml:space="preserve"> y </w:t>
      </w:r>
      <w:r w:rsidR="00771414">
        <w:rPr>
          <w:b/>
          <w:bCs/>
          <w:sz w:val="24"/>
        </w:rPr>
        <w:t>14</w:t>
      </w:r>
      <w:r w:rsidRPr="00A46226">
        <w:rPr>
          <w:b/>
          <w:bCs/>
          <w:sz w:val="24"/>
        </w:rPr>
        <w:t xml:space="preserve"> segundo</w:t>
      </w:r>
      <w:r w:rsidR="00771414">
        <w:rPr>
          <w:b/>
          <w:bCs/>
          <w:sz w:val="24"/>
        </w:rPr>
        <w:t>s</w:t>
      </w:r>
      <w:r w:rsidRPr="00A46226">
        <w:rPr>
          <w:b/>
          <w:bCs/>
          <w:sz w:val="24"/>
        </w:rPr>
        <w:t xml:space="preserve"> en radio</w:t>
      </w:r>
      <w:r w:rsidRPr="00A46226">
        <w:rPr>
          <w:sz w:val="24"/>
        </w:rPr>
        <w:t xml:space="preserve">. </w:t>
      </w:r>
    </w:p>
    <w:p w14:paraId="00B591A4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50A0E8F7" w14:textId="1A93BEB2" w:rsidR="00055F6E" w:rsidRPr="00A46226" w:rsidRDefault="00055F6E" w:rsidP="008A0057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espacio otorgado a </w:t>
      </w:r>
      <w:r w:rsidR="005E36A1" w:rsidRPr="00A46226">
        <w:rPr>
          <w:sz w:val="24"/>
        </w:rPr>
        <w:t>las</w:t>
      </w:r>
      <w:r w:rsidR="004B0D13" w:rsidRPr="00A46226">
        <w:rPr>
          <w:sz w:val="24"/>
        </w:rPr>
        <w:t xml:space="preserve"> </w:t>
      </w:r>
      <w:r w:rsidR="000828C5" w:rsidRPr="00A46226">
        <w:rPr>
          <w:sz w:val="24"/>
        </w:rPr>
        <w:t xml:space="preserve">intercampañas </w:t>
      </w:r>
      <w:r w:rsidR="00334D99">
        <w:rPr>
          <w:sz w:val="24"/>
        </w:rPr>
        <w:t xml:space="preserve">e inicio de campañas </w:t>
      </w:r>
      <w:r w:rsidR="000828C5" w:rsidRPr="00A46226">
        <w:rPr>
          <w:sz w:val="24"/>
        </w:rPr>
        <w:t>de los partidos políticos, coaliciones</w:t>
      </w:r>
      <w:r w:rsidR="00334D99">
        <w:rPr>
          <w:sz w:val="24"/>
        </w:rPr>
        <w:t xml:space="preserve">, </w:t>
      </w:r>
      <w:r w:rsidR="000828C5" w:rsidRPr="00A46226">
        <w:rPr>
          <w:sz w:val="24"/>
        </w:rPr>
        <w:t>aspirantes a una candidatura independiente</w:t>
      </w:r>
      <w:r w:rsidR="00334D99">
        <w:rPr>
          <w:sz w:val="24"/>
        </w:rPr>
        <w:t xml:space="preserve"> y candidatura independiente</w:t>
      </w:r>
      <w:r w:rsidRPr="00A46226">
        <w:rPr>
          <w:sz w:val="24"/>
        </w:rPr>
        <w:t xml:space="preserve"> en prensa impresa fue de </w:t>
      </w:r>
      <w:r w:rsidR="002C39F7">
        <w:rPr>
          <w:b/>
          <w:bCs/>
          <w:sz w:val="24"/>
        </w:rPr>
        <w:t>5</w:t>
      </w:r>
      <w:r w:rsidR="0048698C">
        <w:rPr>
          <w:b/>
          <w:bCs/>
          <w:sz w:val="24"/>
        </w:rPr>
        <w:t>02</w:t>
      </w:r>
      <w:r w:rsidRPr="00A46226">
        <w:rPr>
          <w:b/>
          <w:bCs/>
          <w:sz w:val="24"/>
        </w:rPr>
        <w:t>,</w:t>
      </w:r>
      <w:r w:rsidR="0048698C">
        <w:rPr>
          <w:b/>
          <w:bCs/>
          <w:sz w:val="24"/>
        </w:rPr>
        <w:t>375</w:t>
      </w:r>
      <w:r w:rsidRPr="00A46226">
        <w:rPr>
          <w:b/>
          <w:bCs/>
          <w:sz w:val="24"/>
        </w:rPr>
        <w:t>.</w:t>
      </w:r>
      <w:r w:rsidR="0048698C">
        <w:rPr>
          <w:b/>
          <w:bCs/>
          <w:sz w:val="24"/>
        </w:rPr>
        <w:t>50</w:t>
      </w:r>
      <w:r w:rsidRPr="00A46226">
        <w:rPr>
          <w:b/>
          <w:bCs/>
          <w:sz w:val="24"/>
        </w:rPr>
        <w:t xml:space="preserve"> cm2</w:t>
      </w:r>
      <w:r w:rsidRPr="00A46226">
        <w:rPr>
          <w:sz w:val="24"/>
        </w:rPr>
        <w:t>.</w:t>
      </w:r>
    </w:p>
    <w:p w14:paraId="481621E6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141F5584" w14:textId="55325648" w:rsidR="00055F6E" w:rsidRPr="00A46226" w:rsidRDefault="006B1FF4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>Del t</w:t>
      </w:r>
      <w:r w:rsidR="00055F6E" w:rsidRPr="00A46226">
        <w:rPr>
          <w:sz w:val="24"/>
        </w:rPr>
        <w:t>o</w:t>
      </w:r>
      <w:r w:rsidRPr="00A46226">
        <w:rPr>
          <w:sz w:val="24"/>
        </w:rPr>
        <w:t>tal de</w:t>
      </w:r>
      <w:r w:rsidR="00055F6E" w:rsidRPr="00A46226">
        <w:rPr>
          <w:sz w:val="24"/>
        </w:rPr>
        <w:t xml:space="preserve"> piezas de monitoreo, </w:t>
      </w:r>
      <w:r w:rsidR="00DC75C3">
        <w:rPr>
          <w:b/>
          <w:bCs/>
          <w:sz w:val="24"/>
        </w:rPr>
        <w:t>9</w:t>
      </w:r>
      <w:r w:rsidR="002B631E">
        <w:rPr>
          <w:b/>
          <w:bCs/>
          <w:sz w:val="24"/>
        </w:rPr>
        <w:t>07</w:t>
      </w:r>
      <w:r w:rsidR="009D38AF" w:rsidRPr="00A46226">
        <w:rPr>
          <w:b/>
          <w:bCs/>
          <w:sz w:val="24"/>
        </w:rPr>
        <w:t xml:space="preserve"> </w:t>
      </w:r>
      <w:r w:rsidR="009D38AF" w:rsidRPr="00A46226">
        <w:rPr>
          <w:sz w:val="24"/>
        </w:rPr>
        <w:t xml:space="preserve">fueron menciones </w:t>
      </w:r>
      <w:r w:rsidR="009D38AF" w:rsidRPr="00A46226">
        <w:rPr>
          <w:b/>
          <w:bCs/>
          <w:sz w:val="24"/>
        </w:rPr>
        <w:t>para mujeres</w:t>
      </w:r>
      <w:r w:rsidR="009D38AF" w:rsidRPr="00A46226">
        <w:rPr>
          <w:sz w:val="24"/>
        </w:rPr>
        <w:t xml:space="preserve">, </w:t>
      </w:r>
      <w:r w:rsidR="002B631E">
        <w:rPr>
          <w:b/>
          <w:bCs/>
          <w:sz w:val="24"/>
        </w:rPr>
        <w:t>1563</w:t>
      </w:r>
      <w:r w:rsidR="00730F80" w:rsidRPr="00A46226">
        <w:rPr>
          <w:b/>
          <w:bCs/>
          <w:sz w:val="24"/>
        </w:rPr>
        <w:t xml:space="preserve"> para hombres</w:t>
      </w:r>
      <w:r w:rsidR="009D38AF" w:rsidRPr="00A46226">
        <w:rPr>
          <w:sz w:val="24"/>
        </w:rPr>
        <w:t xml:space="preserve"> y </w:t>
      </w:r>
      <w:r w:rsidR="002B631E">
        <w:rPr>
          <w:sz w:val="24"/>
        </w:rPr>
        <w:t>501</w:t>
      </w:r>
      <w:r w:rsidR="009D38AF" w:rsidRPr="00A46226">
        <w:rPr>
          <w:sz w:val="24"/>
        </w:rPr>
        <w:t xml:space="preserve"> </w:t>
      </w:r>
      <w:r w:rsidR="00CE72B7" w:rsidRPr="00A46226">
        <w:rPr>
          <w:sz w:val="24"/>
        </w:rPr>
        <w:t>s</w:t>
      </w:r>
      <w:r w:rsidR="009D38AF" w:rsidRPr="00A46226">
        <w:rPr>
          <w:sz w:val="24"/>
        </w:rPr>
        <w:t>in especifica</w:t>
      </w:r>
      <w:r w:rsidR="00006DF6" w:rsidRPr="00A46226">
        <w:rPr>
          <w:sz w:val="24"/>
        </w:rPr>
        <w:t>ción de género</w:t>
      </w:r>
      <w:r w:rsidR="00055F6E" w:rsidRPr="00A46226">
        <w:rPr>
          <w:sz w:val="24"/>
        </w:rPr>
        <w:t>.</w:t>
      </w:r>
    </w:p>
    <w:p w14:paraId="11205E15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21C5F6CA" w14:textId="681AB667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género periodístico más utilizado fue la </w:t>
      </w:r>
      <w:r w:rsidRPr="00A46226">
        <w:rPr>
          <w:b/>
          <w:bCs/>
          <w:sz w:val="24"/>
        </w:rPr>
        <w:t>nota informativa</w:t>
      </w:r>
      <w:r w:rsidRPr="00A46226">
        <w:rPr>
          <w:sz w:val="24"/>
        </w:rPr>
        <w:t xml:space="preserve"> con </w:t>
      </w:r>
      <w:r w:rsidR="0095442B">
        <w:rPr>
          <w:sz w:val="24"/>
        </w:rPr>
        <w:t>2606</w:t>
      </w:r>
      <w:r w:rsidRPr="00A46226">
        <w:rPr>
          <w:sz w:val="24"/>
        </w:rPr>
        <w:t xml:space="preserve"> piezas de monitoreo, seguido por el de opinión y análisis con </w:t>
      </w:r>
      <w:r w:rsidR="00EB1A8D">
        <w:rPr>
          <w:sz w:val="24"/>
        </w:rPr>
        <w:t>320</w:t>
      </w:r>
      <w:r w:rsidRPr="00A46226">
        <w:rPr>
          <w:sz w:val="24"/>
        </w:rPr>
        <w:t xml:space="preserve"> pieza</w:t>
      </w:r>
      <w:r w:rsidR="00981ACB" w:rsidRPr="00A46226">
        <w:rPr>
          <w:sz w:val="24"/>
        </w:rPr>
        <w:t>s</w:t>
      </w:r>
      <w:r w:rsidRPr="00A46226">
        <w:rPr>
          <w:sz w:val="24"/>
        </w:rPr>
        <w:t xml:space="preserve">. </w:t>
      </w:r>
    </w:p>
    <w:p w14:paraId="42996ED6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133DDE36" w14:textId="50F105E0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recurso técnico más utilizado fue </w:t>
      </w:r>
      <w:r w:rsidR="00DE3DF8">
        <w:rPr>
          <w:b/>
          <w:bCs/>
          <w:sz w:val="24"/>
        </w:rPr>
        <w:t>cita</w:t>
      </w:r>
      <w:r w:rsidR="00140117">
        <w:rPr>
          <w:b/>
          <w:bCs/>
          <w:sz w:val="24"/>
        </w:rPr>
        <w:t xml:space="preserve"> e</w:t>
      </w:r>
      <w:r w:rsidR="009B4749" w:rsidRPr="00A46226">
        <w:rPr>
          <w:b/>
          <w:bCs/>
          <w:sz w:val="24"/>
        </w:rPr>
        <w:t xml:space="preserve"> </w:t>
      </w:r>
      <w:r w:rsidRPr="00A46226">
        <w:rPr>
          <w:b/>
          <w:bCs/>
          <w:sz w:val="24"/>
        </w:rPr>
        <w:t>imagen</w:t>
      </w:r>
      <w:r w:rsidRPr="00A46226">
        <w:rPr>
          <w:sz w:val="24"/>
        </w:rPr>
        <w:t xml:space="preserve"> en televisión; </w:t>
      </w:r>
      <w:r w:rsidR="007C5D32" w:rsidRPr="00A46226">
        <w:rPr>
          <w:b/>
          <w:bCs/>
          <w:sz w:val="24"/>
        </w:rPr>
        <w:t xml:space="preserve">solo </w:t>
      </w:r>
      <w:r w:rsidRPr="00A46226">
        <w:rPr>
          <w:b/>
          <w:bCs/>
          <w:sz w:val="24"/>
        </w:rPr>
        <w:t>cita</w:t>
      </w:r>
      <w:r w:rsidRPr="00A46226">
        <w:rPr>
          <w:sz w:val="24"/>
        </w:rPr>
        <w:t xml:space="preserve"> en radio; y </w:t>
      </w:r>
      <w:r w:rsidRPr="00A46226">
        <w:rPr>
          <w:b/>
          <w:bCs/>
          <w:sz w:val="24"/>
        </w:rPr>
        <w:t>texto</w:t>
      </w:r>
      <w:r w:rsidR="0003188C">
        <w:rPr>
          <w:b/>
          <w:bCs/>
          <w:sz w:val="24"/>
        </w:rPr>
        <w:t xml:space="preserve"> e imagen</w:t>
      </w:r>
      <w:r w:rsidRPr="00A46226">
        <w:rPr>
          <w:sz w:val="24"/>
        </w:rPr>
        <w:t xml:space="preserve"> en prensa impresa. </w:t>
      </w:r>
    </w:p>
    <w:p w14:paraId="4782889F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767C1D2E" w14:textId="01551080" w:rsidR="003B1920" w:rsidRDefault="00055F6E" w:rsidP="003B1920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b/>
          <w:bCs/>
          <w:sz w:val="24"/>
        </w:rPr>
        <w:t>No se registraron</w:t>
      </w:r>
      <w:r w:rsidRPr="00A46226">
        <w:rPr>
          <w:sz w:val="24"/>
        </w:rPr>
        <w:t xml:space="preserve"> piezas de monitoreo </w:t>
      </w:r>
      <w:r w:rsidR="00D05409" w:rsidRPr="00A46226">
        <w:rPr>
          <w:sz w:val="24"/>
        </w:rPr>
        <w:t xml:space="preserve">con el uso </w:t>
      </w:r>
      <w:r w:rsidRPr="00A46226">
        <w:rPr>
          <w:sz w:val="24"/>
        </w:rPr>
        <w:t xml:space="preserve">de lenguaje </w:t>
      </w:r>
      <w:r w:rsidR="00D05409" w:rsidRPr="00A46226">
        <w:rPr>
          <w:sz w:val="24"/>
        </w:rPr>
        <w:t>ex</w:t>
      </w:r>
      <w:r w:rsidRPr="00A46226">
        <w:rPr>
          <w:sz w:val="24"/>
        </w:rPr>
        <w:t xml:space="preserve">cluyente y sexista, ni piezas con presencia de estereotipos de género en radio, televisión y prensa impresa. </w:t>
      </w:r>
    </w:p>
    <w:p w14:paraId="5CA2514C" w14:textId="77777777" w:rsidR="003B1920" w:rsidRPr="003B1920" w:rsidRDefault="003B1920" w:rsidP="003B1920">
      <w:pPr>
        <w:spacing w:line="240" w:lineRule="auto"/>
        <w:rPr>
          <w:sz w:val="24"/>
        </w:rPr>
      </w:pPr>
    </w:p>
    <w:p w14:paraId="2D666202" w14:textId="4BF3E162" w:rsidR="00D54ABD" w:rsidRPr="00307412" w:rsidRDefault="006D0DBD" w:rsidP="00307412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>Por último, debe destacarse que el monitoreo completo a que hace referencia el presente informe</w:t>
      </w:r>
      <w:r>
        <w:rPr>
          <w:sz w:val="24"/>
        </w:rPr>
        <w:t>, así como todos los informes anteriores</w:t>
      </w:r>
      <w:r w:rsidRPr="00A46226">
        <w:rPr>
          <w:sz w:val="24"/>
        </w:rPr>
        <w:t xml:space="preserve"> puede</w:t>
      </w:r>
      <w:r>
        <w:rPr>
          <w:sz w:val="24"/>
        </w:rPr>
        <w:t>n</w:t>
      </w:r>
      <w:r w:rsidRPr="00A46226">
        <w:rPr>
          <w:sz w:val="24"/>
        </w:rPr>
        <w:t xml:space="preserve"> ser consultado</w:t>
      </w:r>
      <w:r>
        <w:rPr>
          <w:sz w:val="24"/>
        </w:rPr>
        <w:t>s</w:t>
      </w:r>
      <w:r w:rsidRPr="00A46226">
        <w:rPr>
          <w:sz w:val="24"/>
        </w:rPr>
        <w:t xml:space="preserve"> en la página web</w:t>
      </w:r>
      <w:r>
        <w:rPr>
          <w:sz w:val="24"/>
        </w:rPr>
        <w:t xml:space="preserve">: </w:t>
      </w:r>
      <w:hyperlink r:id="rId8" w:history="1">
        <w:r w:rsidRPr="00CA3B3B">
          <w:rPr>
            <w:rStyle w:val="Hipervnculo"/>
            <w:sz w:val="24"/>
          </w:rPr>
          <w:t>www.ieepcnl.mx</w:t>
        </w:r>
      </w:hyperlink>
      <w:r>
        <w:rPr>
          <w:sz w:val="24"/>
        </w:rPr>
        <w:t xml:space="preserve"> </w:t>
      </w:r>
    </w:p>
    <w:sectPr w:rsidR="00D54ABD" w:rsidRPr="00307412" w:rsidSect="00E72237">
      <w:headerReference w:type="default" r:id="rId9"/>
      <w:pgSz w:w="12240" w:h="15840"/>
      <w:pgMar w:top="1418" w:right="1608" w:bottom="568" w:left="1560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E95B" w14:textId="77777777" w:rsidR="00E72237" w:rsidRDefault="00E72237" w:rsidP="00AD5539">
      <w:pPr>
        <w:spacing w:line="240" w:lineRule="auto"/>
      </w:pPr>
      <w:r>
        <w:separator/>
      </w:r>
    </w:p>
  </w:endnote>
  <w:endnote w:type="continuationSeparator" w:id="0">
    <w:p w14:paraId="08FC4670" w14:textId="77777777" w:rsidR="00E72237" w:rsidRDefault="00E72237" w:rsidP="00AD5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8EA9" w14:textId="77777777" w:rsidR="00E72237" w:rsidRDefault="00E72237" w:rsidP="00AD5539">
      <w:pPr>
        <w:spacing w:line="240" w:lineRule="auto"/>
      </w:pPr>
      <w:r>
        <w:separator/>
      </w:r>
    </w:p>
  </w:footnote>
  <w:footnote w:type="continuationSeparator" w:id="0">
    <w:p w14:paraId="530F3DCE" w14:textId="77777777" w:rsidR="00E72237" w:rsidRDefault="00E72237" w:rsidP="00AD5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F5D0" w14:textId="77777777" w:rsidR="0005582B" w:rsidRDefault="0005582B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bCs/>
        <w:sz w:val="24"/>
      </w:rPr>
    </w:pPr>
    <w:r w:rsidRPr="00135C7B">
      <w:rPr>
        <w:rFonts w:eastAsia="Calibri" w:cs="Times New Roman"/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6CD0DC5C" wp14:editId="4AD6D66F">
          <wp:simplePos x="0" y="0"/>
          <wp:positionH relativeFrom="column">
            <wp:posOffset>-120015</wp:posOffset>
          </wp:positionH>
          <wp:positionV relativeFrom="paragraph">
            <wp:posOffset>18268</wp:posOffset>
          </wp:positionV>
          <wp:extent cx="2192301" cy="715975"/>
          <wp:effectExtent l="0" t="0" r="0" b="8255"/>
          <wp:wrapSquare wrapText="bothSides"/>
          <wp:docPr id="1865532584" name="Imagen 186553258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5" t="24130" r="8871" b="30959"/>
                  <a:stretch/>
                </pic:blipFill>
                <pic:spPr bwMode="auto">
                  <a:xfrm>
                    <a:off x="0" y="0"/>
                    <a:ext cx="2192301" cy="7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3AB972" w14:textId="77777777" w:rsidR="005625B1" w:rsidRDefault="005625B1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bCs/>
        <w:sz w:val="24"/>
      </w:rPr>
    </w:pPr>
  </w:p>
  <w:p w14:paraId="5F9E171C" w14:textId="692BFAA0" w:rsidR="0005582B" w:rsidRPr="00135C7B" w:rsidRDefault="0005582B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sz w:val="24"/>
      </w:rPr>
    </w:pPr>
    <w:r w:rsidRPr="00135C7B">
      <w:rPr>
        <w:rFonts w:eastAsia="Calibri"/>
        <w:b/>
        <w:bCs/>
        <w:sz w:val="24"/>
      </w:rPr>
      <w:t>SECRETARÍA EJECUTIVA</w:t>
    </w:r>
  </w:p>
  <w:p w14:paraId="4EE97240" w14:textId="77777777" w:rsidR="0005582B" w:rsidRDefault="0005582B" w:rsidP="0005582B">
    <w:pPr>
      <w:pStyle w:val="Encabezado"/>
    </w:pPr>
  </w:p>
  <w:p w14:paraId="25EBA451" w14:textId="5C0B837A" w:rsidR="00414F46" w:rsidRDefault="00414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BCE"/>
    <w:multiLevelType w:val="hybridMultilevel"/>
    <w:tmpl w:val="E694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6F5"/>
    <w:multiLevelType w:val="hybridMultilevel"/>
    <w:tmpl w:val="EB24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972"/>
    <w:multiLevelType w:val="hybridMultilevel"/>
    <w:tmpl w:val="98E614FE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A78"/>
    <w:multiLevelType w:val="hybridMultilevel"/>
    <w:tmpl w:val="85022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23F2"/>
    <w:multiLevelType w:val="hybridMultilevel"/>
    <w:tmpl w:val="70D404E0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1D2"/>
    <w:multiLevelType w:val="hybridMultilevel"/>
    <w:tmpl w:val="489E5422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8D6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1286"/>
    <w:multiLevelType w:val="hybridMultilevel"/>
    <w:tmpl w:val="A170D612"/>
    <w:lvl w:ilvl="0" w:tplc="E3D401B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70D70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1331"/>
    <w:multiLevelType w:val="hybridMultilevel"/>
    <w:tmpl w:val="FE2EF294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965E3"/>
    <w:multiLevelType w:val="hybridMultilevel"/>
    <w:tmpl w:val="1BAAA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1CE5"/>
    <w:multiLevelType w:val="hybridMultilevel"/>
    <w:tmpl w:val="5ABC4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044D8"/>
    <w:multiLevelType w:val="hybridMultilevel"/>
    <w:tmpl w:val="C448B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71966"/>
    <w:multiLevelType w:val="hybridMultilevel"/>
    <w:tmpl w:val="21FAFAA6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3419"/>
    <w:multiLevelType w:val="hybridMultilevel"/>
    <w:tmpl w:val="BD6432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35012"/>
    <w:multiLevelType w:val="hybridMultilevel"/>
    <w:tmpl w:val="10B42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2381"/>
    <w:multiLevelType w:val="hybridMultilevel"/>
    <w:tmpl w:val="6F6C1DFE"/>
    <w:lvl w:ilvl="0" w:tplc="A7C49FA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836AE"/>
    <w:multiLevelType w:val="hybridMultilevel"/>
    <w:tmpl w:val="BB60E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C48C1"/>
    <w:multiLevelType w:val="hybridMultilevel"/>
    <w:tmpl w:val="FBE4D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2467"/>
    <w:multiLevelType w:val="hybridMultilevel"/>
    <w:tmpl w:val="0352B7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B4EB0"/>
    <w:multiLevelType w:val="hybridMultilevel"/>
    <w:tmpl w:val="ED92A8F2"/>
    <w:lvl w:ilvl="0" w:tplc="E3D401B2">
      <w:numFmt w:val="bullet"/>
      <w:lvlText w:val="•"/>
      <w:lvlJc w:val="left"/>
      <w:pPr>
        <w:ind w:left="1422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4D05A36"/>
    <w:multiLevelType w:val="hybridMultilevel"/>
    <w:tmpl w:val="3B885264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66D88"/>
    <w:multiLevelType w:val="hybridMultilevel"/>
    <w:tmpl w:val="6FAED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48B7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00881"/>
    <w:multiLevelType w:val="hybridMultilevel"/>
    <w:tmpl w:val="CA4C4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EFE"/>
    <w:multiLevelType w:val="hybridMultilevel"/>
    <w:tmpl w:val="150A85C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790FA0"/>
    <w:multiLevelType w:val="hybridMultilevel"/>
    <w:tmpl w:val="3244EB72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56B03"/>
    <w:multiLevelType w:val="hybridMultilevel"/>
    <w:tmpl w:val="495E0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7661">
    <w:abstractNumId w:val="22"/>
  </w:num>
  <w:num w:numId="2" w16cid:durableId="1071274225">
    <w:abstractNumId w:val="25"/>
  </w:num>
  <w:num w:numId="3" w16cid:durableId="1049039436">
    <w:abstractNumId w:val="18"/>
  </w:num>
  <w:num w:numId="4" w16cid:durableId="1863123888">
    <w:abstractNumId w:val="6"/>
  </w:num>
  <w:num w:numId="5" w16cid:durableId="1524781750">
    <w:abstractNumId w:val="23"/>
  </w:num>
  <w:num w:numId="6" w16cid:durableId="32779852">
    <w:abstractNumId w:val="8"/>
  </w:num>
  <w:num w:numId="7" w16cid:durableId="738989452">
    <w:abstractNumId w:val="17"/>
  </w:num>
  <w:num w:numId="8" w16cid:durableId="1796827808">
    <w:abstractNumId w:val="14"/>
  </w:num>
  <w:num w:numId="9" w16cid:durableId="341785143">
    <w:abstractNumId w:val="0"/>
  </w:num>
  <w:num w:numId="10" w16cid:durableId="1095633606">
    <w:abstractNumId w:val="1"/>
  </w:num>
  <w:num w:numId="11" w16cid:durableId="2111468003">
    <w:abstractNumId w:val="15"/>
  </w:num>
  <w:num w:numId="12" w16cid:durableId="1376005415">
    <w:abstractNumId w:val="27"/>
  </w:num>
  <w:num w:numId="13" w16cid:durableId="2082091757">
    <w:abstractNumId w:val="24"/>
  </w:num>
  <w:num w:numId="14" w16cid:durableId="228350298">
    <w:abstractNumId w:val="3"/>
  </w:num>
  <w:num w:numId="15" w16cid:durableId="1326278243">
    <w:abstractNumId w:val="10"/>
  </w:num>
  <w:num w:numId="16" w16cid:durableId="471561919">
    <w:abstractNumId w:val="11"/>
  </w:num>
  <w:num w:numId="17" w16cid:durableId="192034765">
    <w:abstractNumId w:val="5"/>
  </w:num>
  <w:num w:numId="18" w16cid:durableId="1046298972">
    <w:abstractNumId w:val="7"/>
  </w:num>
  <w:num w:numId="19" w16cid:durableId="1335107418">
    <w:abstractNumId w:val="26"/>
  </w:num>
  <w:num w:numId="20" w16cid:durableId="198933190">
    <w:abstractNumId w:val="13"/>
  </w:num>
  <w:num w:numId="21" w16cid:durableId="1715889405">
    <w:abstractNumId w:val="4"/>
  </w:num>
  <w:num w:numId="22" w16cid:durableId="400836501">
    <w:abstractNumId w:val="21"/>
  </w:num>
  <w:num w:numId="23" w16cid:durableId="2012104043">
    <w:abstractNumId w:val="20"/>
  </w:num>
  <w:num w:numId="24" w16cid:durableId="1297417456">
    <w:abstractNumId w:val="2"/>
  </w:num>
  <w:num w:numId="25" w16cid:durableId="1954088830">
    <w:abstractNumId w:val="9"/>
  </w:num>
  <w:num w:numId="26" w16cid:durableId="1236934408">
    <w:abstractNumId w:val="19"/>
  </w:num>
  <w:num w:numId="27" w16cid:durableId="1172062943">
    <w:abstractNumId w:val="19"/>
  </w:num>
  <w:num w:numId="28" w16cid:durableId="714933431">
    <w:abstractNumId w:val="12"/>
  </w:num>
  <w:num w:numId="29" w16cid:durableId="2128112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01"/>
    <w:rsid w:val="0000229A"/>
    <w:rsid w:val="00003EB9"/>
    <w:rsid w:val="00005CB1"/>
    <w:rsid w:val="00006DF6"/>
    <w:rsid w:val="00010316"/>
    <w:rsid w:val="00012052"/>
    <w:rsid w:val="00012D73"/>
    <w:rsid w:val="0001516F"/>
    <w:rsid w:val="00027A7F"/>
    <w:rsid w:val="000305FF"/>
    <w:rsid w:val="0003188C"/>
    <w:rsid w:val="000318F1"/>
    <w:rsid w:val="0003205C"/>
    <w:rsid w:val="00032B81"/>
    <w:rsid w:val="000330CE"/>
    <w:rsid w:val="000362A8"/>
    <w:rsid w:val="000417F6"/>
    <w:rsid w:val="00043CAB"/>
    <w:rsid w:val="00047333"/>
    <w:rsid w:val="000509C9"/>
    <w:rsid w:val="00052CB6"/>
    <w:rsid w:val="0005582B"/>
    <w:rsid w:val="00055D48"/>
    <w:rsid w:val="00055F6E"/>
    <w:rsid w:val="000574DE"/>
    <w:rsid w:val="00061CDA"/>
    <w:rsid w:val="00072112"/>
    <w:rsid w:val="00082702"/>
    <w:rsid w:val="000828C5"/>
    <w:rsid w:val="00085C53"/>
    <w:rsid w:val="0009787C"/>
    <w:rsid w:val="000A37BE"/>
    <w:rsid w:val="000C1BF4"/>
    <w:rsid w:val="000D1287"/>
    <w:rsid w:val="000D26F5"/>
    <w:rsid w:val="000D4BD6"/>
    <w:rsid w:val="000E04DC"/>
    <w:rsid w:val="000E5F7A"/>
    <w:rsid w:val="000E766E"/>
    <w:rsid w:val="001033D2"/>
    <w:rsid w:val="00115767"/>
    <w:rsid w:val="00116625"/>
    <w:rsid w:val="0012299C"/>
    <w:rsid w:val="00123B60"/>
    <w:rsid w:val="00136F0F"/>
    <w:rsid w:val="00140117"/>
    <w:rsid w:val="001437AD"/>
    <w:rsid w:val="00147E37"/>
    <w:rsid w:val="00162451"/>
    <w:rsid w:val="00173DF0"/>
    <w:rsid w:val="00175825"/>
    <w:rsid w:val="00180FEF"/>
    <w:rsid w:val="00187F15"/>
    <w:rsid w:val="001924EE"/>
    <w:rsid w:val="001A0F53"/>
    <w:rsid w:val="001A55C3"/>
    <w:rsid w:val="001C1E26"/>
    <w:rsid w:val="001D06F9"/>
    <w:rsid w:val="001D1782"/>
    <w:rsid w:val="001D58F2"/>
    <w:rsid w:val="001D747F"/>
    <w:rsid w:val="001E335C"/>
    <w:rsid w:val="001E5877"/>
    <w:rsid w:val="001F3266"/>
    <w:rsid w:val="001F50F9"/>
    <w:rsid w:val="00201CF7"/>
    <w:rsid w:val="00207D4D"/>
    <w:rsid w:val="0022095E"/>
    <w:rsid w:val="0022295C"/>
    <w:rsid w:val="00223D91"/>
    <w:rsid w:val="00231050"/>
    <w:rsid w:val="002365CB"/>
    <w:rsid w:val="002369FE"/>
    <w:rsid w:val="00237E73"/>
    <w:rsid w:val="00242A40"/>
    <w:rsid w:val="00244231"/>
    <w:rsid w:val="002515A0"/>
    <w:rsid w:val="002549BA"/>
    <w:rsid w:val="0025533F"/>
    <w:rsid w:val="002560B8"/>
    <w:rsid w:val="00266F1A"/>
    <w:rsid w:val="00266F90"/>
    <w:rsid w:val="002675D1"/>
    <w:rsid w:val="00270D54"/>
    <w:rsid w:val="0027377C"/>
    <w:rsid w:val="00275979"/>
    <w:rsid w:val="0028601E"/>
    <w:rsid w:val="00286A3A"/>
    <w:rsid w:val="002912E3"/>
    <w:rsid w:val="002923E3"/>
    <w:rsid w:val="0029408C"/>
    <w:rsid w:val="00296AEC"/>
    <w:rsid w:val="00297B15"/>
    <w:rsid w:val="002A2BBF"/>
    <w:rsid w:val="002A356C"/>
    <w:rsid w:val="002A6B96"/>
    <w:rsid w:val="002B30D3"/>
    <w:rsid w:val="002B631E"/>
    <w:rsid w:val="002B69E0"/>
    <w:rsid w:val="002C3276"/>
    <w:rsid w:val="002C39F7"/>
    <w:rsid w:val="002C52F2"/>
    <w:rsid w:val="002C7784"/>
    <w:rsid w:val="002D36F8"/>
    <w:rsid w:val="002E3B9F"/>
    <w:rsid w:val="002F0E79"/>
    <w:rsid w:val="003046F3"/>
    <w:rsid w:val="00306D0C"/>
    <w:rsid w:val="00307412"/>
    <w:rsid w:val="003236D0"/>
    <w:rsid w:val="00325020"/>
    <w:rsid w:val="003318F7"/>
    <w:rsid w:val="00334D99"/>
    <w:rsid w:val="003363A8"/>
    <w:rsid w:val="00340355"/>
    <w:rsid w:val="00364F64"/>
    <w:rsid w:val="003661C2"/>
    <w:rsid w:val="00374CCD"/>
    <w:rsid w:val="00381897"/>
    <w:rsid w:val="00384DBE"/>
    <w:rsid w:val="0038738E"/>
    <w:rsid w:val="003A2850"/>
    <w:rsid w:val="003A3A88"/>
    <w:rsid w:val="003A45F2"/>
    <w:rsid w:val="003A5BB5"/>
    <w:rsid w:val="003B1920"/>
    <w:rsid w:val="003C447F"/>
    <w:rsid w:val="003C47BF"/>
    <w:rsid w:val="003C7A27"/>
    <w:rsid w:val="003D0BDF"/>
    <w:rsid w:val="003D6BA6"/>
    <w:rsid w:val="003E00F1"/>
    <w:rsid w:val="003E0588"/>
    <w:rsid w:val="003E58D2"/>
    <w:rsid w:val="003E5B1A"/>
    <w:rsid w:val="003E6A64"/>
    <w:rsid w:val="003E75B4"/>
    <w:rsid w:val="003F21C2"/>
    <w:rsid w:val="003F3E30"/>
    <w:rsid w:val="0040052D"/>
    <w:rsid w:val="00414F46"/>
    <w:rsid w:val="00422FDE"/>
    <w:rsid w:val="004300EB"/>
    <w:rsid w:val="004358E3"/>
    <w:rsid w:val="0043637E"/>
    <w:rsid w:val="00440E6A"/>
    <w:rsid w:val="00442140"/>
    <w:rsid w:val="00445B4E"/>
    <w:rsid w:val="004461E4"/>
    <w:rsid w:val="00450816"/>
    <w:rsid w:val="004508F1"/>
    <w:rsid w:val="00456B70"/>
    <w:rsid w:val="00460DD2"/>
    <w:rsid w:val="004626F7"/>
    <w:rsid w:val="00462DF3"/>
    <w:rsid w:val="004660F0"/>
    <w:rsid w:val="004745E0"/>
    <w:rsid w:val="00474BE0"/>
    <w:rsid w:val="00474FCC"/>
    <w:rsid w:val="0048083B"/>
    <w:rsid w:val="00483D0C"/>
    <w:rsid w:val="0048698C"/>
    <w:rsid w:val="0049070C"/>
    <w:rsid w:val="00491E87"/>
    <w:rsid w:val="00493642"/>
    <w:rsid w:val="004A0436"/>
    <w:rsid w:val="004A30CD"/>
    <w:rsid w:val="004A5888"/>
    <w:rsid w:val="004A7268"/>
    <w:rsid w:val="004B0D13"/>
    <w:rsid w:val="004B10DA"/>
    <w:rsid w:val="004B5602"/>
    <w:rsid w:val="004C0443"/>
    <w:rsid w:val="004C0F91"/>
    <w:rsid w:val="004C36C2"/>
    <w:rsid w:val="004D3523"/>
    <w:rsid w:val="004D7149"/>
    <w:rsid w:val="004E374A"/>
    <w:rsid w:val="004F132F"/>
    <w:rsid w:val="004F1CC8"/>
    <w:rsid w:val="004F7E24"/>
    <w:rsid w:val="005077CE"/>
    <w:rsid w:val="005104EA"/>
    <w:rsid w:val="00517ED8"/>
    <w:rsid w:val="00535561"/>
    <w:rsid w:val="005432F2"/>
    <w:rsid w:val="005540C8"/>
    <w:rsid w:val="005577FE"/>
    <w:rsid w:val="005625B1"/>
    <w:rsid w:val="00564327"/>
    <w:rsid w:val="00573C99"/>
    <w:rsid w:val="00582A4A"/>
    <w:rsid w:val="00593D10"/>
    <w:rsid w:val="0059416C"/>
    <w:rsid w:val="005A396D"/>
    <w:rsid w:val="005A5039"/>
    <w:rsid w:val="005B3ED1"/>
    <w:rsid w:val="005B7D8B"/>
    <w:rsid w:val="005C2E1D"/>
    <w:rsid w:val="005E0125"/>
    <w:rsid w:val="005E25DB"/>
    <w:rsid w:val="005E36A1"/>
    <w:rsid w:val="005E581E"/>
    <w:rsid w:val="005F312F"/>
    <w:rsid w:val="005F34C4"/>
    <w:rsid w:val="005F6CCC"/>
    <w:rsid w:val="0060544C"/>
    <w:rsid w:val="006065E8"/>
    <w:rsid w:val="00607390"/>
    <w:rsid w:val="00610CDF"/>
    <w:rsid w:val="006164CD"/>
    <w:rsid w:val="00620521"/>
    <w:rsid w:val="0062173B"/>
    <w:rsid w:val="00623935"/>
    <w:rsid w:val="0062586B"/>
    <w:rsid w:val="006330A2"/>
    <w:rsid w:val="00637636"/>
    <w:rsid w:val="006503B9"/>
    <w:rsid w:val="00657093"/>
    <w:rsid w:val="0066725C"/>
    <w:rsid w:val="00672919"/>
    <w:rsid w:val="006746C8"/>
    <w:rsid w:val="0067748C"/>
    <w:rsid w:val="00681971"/>
    <w:rsid w:val="0069101D"/>
    <w:rsid w:val="0069150D"/>
    <w:rsid w:val="0069604F"/>
    <w:rsid w:val="006A08D1"/>
    <w:rsid w:val="006A28EC"/>
    <w:rsid w:val="006A3CEC"/>
    <w:rsid w:val="006A48B6"/>
    <w:rsid w:val="006B1FF4"/>
    <w:rsid w:val="006B2225"/>
    <w:rsid w:val="006C6BFE"/>
    <w:rsid w:val="006D0DBD"/>
    <w:rsid w:val="006D402C"/>
    <w:rsid w:val="006D4D82"/>
    <w:rsid w:val="006D771C"/>
    <w:rsid w:val="006E07B0"/>
    <w:rsid w:val="006E4813"/>
    <w:rsid w:val="006E7A61"/>
    <w:rsid w:val="006F4EE6"/>
    <w:rsid w:val="00701B9E"/>
    <w:rsid w:val="007021DE"/>
    <w:rsid w:val="007023C6"/>
    <w:rsid w:val="0070386F"/>
    <w:rsid w:val="0070551B"/>
    <w:rsid w:val="00730099"/>
    <w:rsid w:val="00730F80"/>
    <w:rsid w:val="0073167C"/>
    <w:rsid w:val="00750D7D"/>
    <w:rsid w:val="00751DDE"/>
    <w:rsid w:val="00753681"/>
    <w:rsid w:val="00753DF6"/>
    <w:rsid w:val="00756670"/>
    <w:rsid w:val="00764035"/>
    <w:rsid w:val="00767B11"/>
    <w:rsid w:val="00771414"/>
    <w:rsid w:val="00773D7D"/>
    <w:rsid w:val="00774D61"/>
    <w:rsid w:val="00782AAB"/>
    <w:rsid w:val="007A4C97"/>
    <w:rsid w:val="007B16EC"/>
    <w:rsid w:val="007C5D32"/>
    <w:rsid w:val="007C620A"/>
    <w:rsid w:val="007D3403"/>
    <w:rsid w:val="007D633D"/>
    <w:rsid w:val="007F5C6B"/>
    <w:rsid w:val="00801E23"/>
    <w:rsid w:val="00802C47"/>
    <w:rsid w:val="008032DE"/>
    <w:rsid w:val="00803EE1"/>
    <w:rsid w:val="00805E66"/>
    <w:rsid w:val="00806E98"/>
    <w:rsid w:val="00807501"/>
    <w:rsid w:val="00821C6F"/>
    <w:rsid w:val="008313A7"/>
    <w:rsid w:val="0083404F"/>
    <w:rsid w:val="0084302A"/>
    <w:rsid w:val="00850E06"/>
    <w:rsid w:val="00860861"/>
    <w:rsid w:val="0086355E"/>
    <w:rsid w:val="008679C0"/>
    <w:rsid w:val="00887DB6"/>
    <w:rsid w:val="00892860"/>
    <w:rsid w:val="008928B7"/>
    <w:rsid w:val="008948CD"/>
    <w:rsid w:val="008A0057"/>
    <w:rsid w:val="008A1238"/>
    <w:rsid w:val="008A361F"/>
    <w:rsid w:val="008B5FE7"/>
    <w:rsid w:val="008D7271"/>
    <w:rsid w:val="008E00F8"/>
    <w:rsid w:val="009211BF"/>
    <w:rsid w:val="00921895"/>
    <w:rsid w:val="00921F55"/>
    <w:rsid w:val="00925477"/>
    <w:rsid w:val="00927399"/>
    <w:rsid w:val="0093158F"/>
    <w:rsid w:val="00933875"/>
    <w:rsid w:val="00933BD5"/>
    <w:rsid w:val="00935D47"/>
    <w:rsid w:val="00943309"/>
    <w:rsid w:val="00944A5D"/>
    <w:rsid w:val="0095442B"/>
    <w:rsid w:val="00955A8D"/>
    <w:rsid w:val="00981ACB"/>
    <w:rsid w:val="0098218D"/>
    <w:rsid w:val="009877E9"/>
    <w:rsid w:val="00995D31"/>
    <w:rsid w:val="009A4074"/>
    <w:rsid w:val="009B4749"/>
    <w:rsid w:val="009C2522"/>
    <w:rsid w:val="009C489A"/>
    <w:rsid w:val="009C4AEF"/>
    <w:rsid w:val="009C4CE5"/>
    <w:rsid w:val="009D38AF"/>
    <w:rsid w:val="009E01DB"/>
    <w:rsid w:val="009E11AE"/>
    <w:rsid w:val="009E1AAC"/>
    <w:rsid w:val="009F738E"/>
    <w:rsid w:val="00A0788A"/>
    <w:rsid w:val="00A149D2"/>
    <w:rsid w:val="00A21EF6"/>
    <w:rsid w:val="00A327C8"/>
    <w:rsid w:val="00A34213"/>
    <w:rsid w:val="00A36C95"/>
    <w:rsid w:val="00A46226"/>
    <w:rsid w:val="00A4642E"/>
    <w:rsid w:val="00A53645"/>
    <w:rsid w:val="00A53685"/>
    <w:rsid w:val="00A6032E"/>
    <w:rsid w:val="00A60615"/>
    <w:rsid w:val="00A63E27"/>
    <w:rsid w:val="00A71058"/>
    <w:rsid w:val="00A77D38"/>
    <w:rsid w:val="00A81D07"/>
    <w:rsid w:val="00A93B04"/>
    <w:rsid w:val="00A96573"/>
    <w:rsid w:val="00AB0B74"/>
    <w:rsid w:val="00AC03D5"/>
    <w:rsid w:val="00AC67F1"/>
    <w:rsid w:val="00AD3342"/>
    <w:rsid w:val="00AD5539"/>
    <w:rsid w:val="00AE64AE"/>
    <w:rsid w:val="00B044C8"/>
    <w:rsid w:val="00B11914"/>
    <w:rsid w:val="00B14F62"/>
    <w:rsid w:val="00B21774"/>
    <w:rsid w:val="00B27CAD"/>
    <w:rsid w:val="00B43159"/>
    <w:rsid w:val="00B45FCC"/>
    <w:rsid w:val="00B477B8"/>
    <w:rsid w:val="00B574C1"/>
    <w:rsid w:val="00B6680E"/>
    <w:rsid w:val="00B7183E"/>
    <w:rsid w:val="00B71BB5"/>
    <w:rsid w:val="00B7215E"/>
    <w:rsid w:val="00B72A60"/>
    <w:rsid w:val="00B74E76"/>
    <w:rsid w:val="00BA2ABD"/>
    <w:rsid w:val="00BA309C"/>
    <w:rsid w:val="00BA54EF"/>
    <w:rsid w:val="00BB0223"/>
    <w:rsid w:val="00BB4043"/>
    <w:rsid w:val="00BB6D57"/>
    <w:rsid w:val="00BB782A"/>
    <w:rsid w:val="00BC06E9"/>
    <w:rsid w:val="00BD1B9E"/>
    <w:rsid w:val="00BD428D"/>
    <w:rsid w:val="00BF5E4D"/>
    <w:rsid w:val="00C004CC"/>
    <w:rsid w:val="00C00DC0"/>
    <w:rsid w:val="00C04FAA"/>
    <w:rsid w:val="00C13B93"/>
    <w:rsid w:val="00C3153B"/>
    <w:rsid w:val="00C33974"/>
    <w:rsid w:val="00C34FB4"/>
    <w:rsid w:val="00C3568A"/>
    <w:rsid w:val="00C546AF"/>
    <w:rsid w:val="00C56111"/>
    <w:rsid w:val="00C57639"/>
    <w:rsid w:val="00C61148"/>
    <w:rsid w:val="00C632CB"/>
    <w:rsid w:val="00C67184"/>
    <w:rsid w:val="00C7055C"/>
    <w:rsid w:val="00C7738D"/>
    <w:rsid w:val="00C80F3F"/>
    <w:rsid w:val="00C91534"/>
    <w:rsid w:val="00C917C0"/>
    <w:rsid w:val="00C93F49"/>
    <w:rsid w:val="00CA550E"/>
    <w:rsid w:val="00CB0A53"/>
    <w:rsid w:val="00CB307A"/>
    <w:rsid w:val="00CB3F2E"/>
    <w:rsid w:val="00CB55E4"/>
    <w:rsid w:val="00CC2AE0"/>
    <w:rsid w:val="00CC48C7"/>
    <w:rsid w:val="00CD218B"/>
    <w:rsid w:val="00CE2C01"/>
    <w:rsid w:val="00CE72B7"/>
    <w:rsid w:val="00CF15B4"/>
    <w:rsid w:val="00CF2C15"/>
    <w:rsid w:val="00CF4970"/>
    <w:rsid w:val="00D05409"/>
    <w:rsid w:val="00D1166B"/>
    <w:rsid w:val="00D21F28"/>
    <w:rsid w:val="00D22424"/>
    <w:rsid w:val="00D317FE"/>
    <w:rsid w:val="00D33B66"/>
    <w:rsid w:val="00D34BC4"/>
    <w:rsid w:val="00D42546"/>
    <w:rsid w:val="00D4458F"/>
    <w:rsid w:val="00D4606E"/>
    <w:rsid w:val="00D52C19"/>
    <w:rsid w:val="00D54ABD"/>
    <w:rsid w:val="00D576EF"/>
    <w:rsid w:val="00D61AFA"/>
    <w:rsid w:val="00D63BD0"/>
    <w:rsid w:val="00D7186F"/>
    <w:rsid w:val="00D72DAE"/>
    <w:rsid w:val="00D7545B"/>
    <w:rsid w:val="00D817DE"/>
    <w:rsid w:val="00D82B4B"/>
    <w:rsid w:val="00D83743"/>
    <w:rsid w:val="00D86235"/>
    <w:rsid w:val="00D90F45"/>
    <w:rsid w:val="00D9138D"/>
    <w:rsid w:val="00D94E17"/>
    <w:rsid w:val="00DA2B18"/>
    <w:rsid w:val="00DB02E5"/>
    <w:rsid w:val="00DB181F"/>
    <w:rsid w:val="00DC01BD"/>
    <w:rsid w:val="00DC04F6"/>
    <w:rsid w:val="00DC36FF"/>
    <w:rsid w:val="00DC3966"/>
    <w:rsid w:val="00DC5884"/>
    <w:rsid w:val="00DC75C3"/>
    <w:rsid w:val="00DD0E28"/>
    <w:rsid w:val="00DD41FC"/>
    <w:rsid w:val="00DE1166"/>
    <w:rsid w:val="00DE1453"/>
    <w:rsid w:val="00DE3DF8"/>
    <w:rsid w:val="00DE713D"/>
    <w:rsid w:val="00DF1693"/>
    <w:rsid w:val="00DF27CA"/>
    <w:rsid w:val="00DF6A5A"/>
    <w:rsid w:val="00E00BF0"/>
    <w:rsid w:val="00E10354"/>
    <w:rsid w:val="00E30CE8"/>
    <w:rsid w:val="00E3550A"/>
    <w:rsid w:val="00E406A8"/>
    <w:rsid w:val="00E455AD"/>
    <w:rsid w:val="00E55F45"/>
    <w:rsid w:val="00E57560"/>
    <w:rsid w:val="00E60459"/>
    <w:rsid w:val="00E6269B"/>
    <w:rsid w:val="00E634E3"/>
    <w:rsid w:val="00E648D0"/>
    <w:rsid w:val="00E64901"/>
    <w:rsid w:val="00E7063A"/>
    <w:rsid w:val="00E70B40"/>
    <w:rsid w:val="00E72237"/>
    <w:rsid w:val="00E73775"/>
    <w:rsid w:val="00E77BA9"/>
    <w:rsid w:val="00E81760"/>
    <w:rsid w:val="00E826DA"/>
    <w:rsid w:val="00E865E8"/>
    <w:rsid w:val="00E957BA"/>
    <w:rsid w:val="00EA3119"/>
    <w:rsid w:val="00EA3258"/>
    <w:rsid w:val="00EB1A8D"/>
    <w:rsid w:val="00EC31F2"/>
    <w:rsid w:val="00ED2106"/>
    <w:rsid w:val="00ED45DD"/>
    <w:rsid w:val="00ED4665"/>
    <w:rsid w:val="00EE17DB"/>
    <w:rsid w:val="00EE2748"/>
    <w:rsid w:val="00EE315D"/>
    <w:rsid w:val="00EE767E"/>
    <w:rsid w:val="00EF29E5"/>
    <w:rsid w:val="00EF7F3E"/>
    <w:rsid w:val="00F02B78"/>
    <w:rsid w:val="00F073B0"/>
    <w:rsid w:val="00F12CC1"/>
    <w:rsid w:val="00F131D7"/>
    <w:rsid w:val="00F14DF8"/>
    <w:rsid w:val="00F304DB"/>
    <w:rsid w:val="00F458D3"/>
    <w:rsid w:val="00F5553F"/>
    <w:rsid w:val="00F5709C"/>
    <w:rsid w:val="00F64FB5"/>
    <w:rsid w:val="00F77D58"/>
    <w:rsid w:val="00F829E9"/>
    <w:rsid w:val="00F95254"/>
    <w:rsid w:val="00F97B5D"/>
    <w:rsid w:val="00FA4257"/>
    <w:rsid w:val="00FB1489"/>
    <w:rsid w:val="00FB3E40"/>
    <w:rsid w:val="00FB3EDA"/>
    <w:rsid w:val="00FD2CEB"/>
    <w:rsid w:val="00FD4A78"/>
    <w:rsid w:val="00FE1993"/>
    <w:rsid w:val="00FE22CB"/>
    <w:rsid w:val="00FE67AC"/>
    <w:rsid w:val="00FF29E6"/>
    <w:rsid w:val="00FF3DD5"/>
    <w:rsid w:val="00FF541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0F58C"/>
  <w15:chartTrackingRefBased/>
  <w15:docId w15:val="{970FA769-A8B2-465D-805A-BFF9B80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01"/>
    <w:pPr>
      <w:spacing w:after="0" w:line="360" w:lineRule="auto"/>
      <w:jc w:val="both"/>
    </w:pPr>
    <w:rPr>
      <w:rFonts w:ascii="Arial" w:hAnsi="Arial" w:cs="Arial"/>
      <w:sz w:val="27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Parrafo 1,Lista multicolor - Énfasis 11,Cuadrícula media 1 - Énfasis 21,Cita texto,Lista vistosa - Énfasis 11,List Paragraph-Thesis,AB List 1,Bullet Points,Bullet List,FooterText,numbered,List Paragraph1"/>
    <w:basedOn w:val="Normal"/>
    <w:link w:val="PrrafodelistaCar"/>
    <w:uiPriority w:val="72"/>
    <w:qFormat/>
    <w:rsid w:val="00CF2C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4C1"/>
    <w:pPr>
      <w:spacing w:after="0" w:line="240" w:lineRule="auto"/>
      <w:jc w:val="both"/>
    </w:pPr>
    <w:rPr>
      <w:rFonts w:ascii="Arial" w:hAnsi="Arial" w:cs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5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39"/>
    <w:rPr>
      <w:rFonts w:ascii="Arial" w:hAnsi="Arial" w:cs="Arial"/>
      <w:sz w:val="27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55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39"/>
    <w:rPr>
      <w:rFonts w:ascii="Arial" w:hAnsi="Arial" w:cs="Arial"/>
      <w:sz w:val="27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4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4E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B044C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491E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1E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1E8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E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E87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432F2"/>
    <w:pPr>
      <w:spacing w:after="0" w:line="240" w:lineRule="auto"/>
    </w:pPr>
    <w:rPr>
      <w:rFonts w:ascii="Arial" w:hAnsi="Arial" w:cs="Arial"/>
      <w:sz w:val="27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63BD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BD0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BD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63B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BD0"/>
    <w:rPr>
      <w:color w:val="605E5C"/>
      <w:shd w:val="clear" w:color="auto" w:fill="E1DFDD"/>
    </w:rPr>
  </w:style>
  <w:style w:type="character" w:customStyle="1" w:styleId="PrrafodelistaCar">
    <w:name w:val="Párrafo de lista Car"/>
    <w:aliases w:val="CNBV Parrafo1 Car,Párrafo de lista1 Car,Parrafo 1 Car,Lista multicolor - Énfasis 11 Car,Cuadrícula media 1 - Énfasis 21 Car,Cita texto Car,Lista vistosa - Énfasis 11 Car,List Paragraph-Thesis Car,AB List 1 Car,Bullet Points Car"/>
    <w:link w:val="Prrafodelista"/>
    <w:uiPriority w:val="34"/>
    <w:qFormat/>
    <w:locked/>
    <w:rsid w:val="00F131D7"/>
    <w:rPr>
      <w:rFonts w:ascii="Arial" w:hAnsi="Arial" w:cs="Arial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pcnl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0790-20DF-4497-8BFC-E92A4CD4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mlzertuche@cee-nl.org.mx</dc:creator>
  <cp:keywords/>
  <dc:description/>
  <cp:lastModifiedBy>Sonia Marybel Torres Mata</cp:lastModifiedBy>
  <cp:revision>32</cp:revision>
  <cp:lastPrinted>2024-02-21T00:18:00Z</cp:lastPrinted>
  <dcterms:created xsi:type="dcterms:W3CDTF">2024-04-17T23:44:00Z</dcterms:created>
  <dcterms:modified xsi:type="dcterms:W3CDTF">2024-04-18T00:10:00Z</dcterms:modified>
</cp:coreProperties>
</file>